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Chronic kidney disease (KDIGO: eGFR&lt;60 or ACR&gt;=30) (odds ratio 1.84 (95% CI 1.44 to 2.34),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1.84 (95% CI 1.44 to 2.34)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28.6%</w:t>
            </w:r>
          </w:p>
        </w:tc>
        <w:tc>
          <w:tcPr>
            <w:tcW w:type="dxa" w:w="2160"/>
          </w:tcPr>
          <w:p>
            <w:r>
              <w:t>46.2%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