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Chronic kidney disease (KDIGO: eGFR&lt;60 or ACR&gt;=30) (odds ratio per 1-SD 1.03 (95% CI 0.92 to 1.15), false discovery rate q 0.675)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0.92 to 1.15)</w:t>
            </w:r>
          </w:p>
        </w:tc>
        <w:tc>
          <w:tcPr>
            <w:tcW w:type="dxa" w:w="1234"/>
          </w:tcPr>
          <w:p>
            <w:r>
              <w:t>0.633</w:t>
            </w:r>
          </w:p>
        </w:tc>
        <w:tc>
          <w:tcPr>
            <w:tcW w:type="dxa" w:w="1234"/>
          </w:tcPr>
          <w:p>
            <w:r>
              <w:t>0.675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116.0</w:t>
            </w:r>
          </w:p>
        </w:tc>
        <w:tc>
          <w:tcPr>
            <w:tcW w:type="dxa" w:w="2160"/>
          </w:tcPr>
          <w:p>
            <w:r>
              <w:t>116.6</w:t>
            </w:r>
          </w:p>
        </w:tc>
        <w:tc>
          <w:tcPr>
            <w:tcW w:type="dxa" w:w="2160"/>
          </w:tcPr>
          <w:p>
            <w:r>
              <w:t>108.3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