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Chronic kidney disease (KDIGO: eGFR&lt;60 or ACR&gt;=30) (odds ratio 1.27 (95% CI 1.11 to 1.45), false discovery rate q 0.001)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1.27 (95% CI 1.11 to 1.45)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26.9%</w:t>
            </w:r>
          </w:p>
        </w:tc>
        <w:tc>
          <w:tcPr>
            <w:tcW w:type="dxa" w:w="2160"/>
          </w:tcPr>
          <w:p>
            <w:r>
              <w:t>26.0%</w:t>
            </w:r>
          </w:p>
        </w:tc>
        <w:tc>
          <w:tcPr>
            <w:tcW w:type="dxa" w:w="2160"/>
          </w:tcPr>
          <w:p>
            <w:r>
              <w:t>38.3%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