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Chronic kidney disease (KDIGO: eGFR&lt;60 or ACR&gt;=30) (odds ratio 0.74 (95% CI 0.37 to 1.48), false discovery rate q 0.454)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0.37 to 1.48)</w:t>
            </w:r>
          </w:p>
        </w:tc>
        <w:tc>
          <w:tcPr>
            <w:tcW w:type="dxa" w:w="1234"/>
          </w:tcPr>
          <w:p>
            <w:r>
              <w:t>0.403</w:t>
            </w:r>
          </w:p>
        </w:tc>
        <w:tc>
          <w:tcPr>
            <w:tcW w:type="dxa" w:w="1234"/>
          </w:tcPr>
          <w:p>
            <w:r>
              <w:t>0.454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