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Chronic kidney disease (KDIGO: eGFR&lt;60 or ACR&gt;=30) (odds ratio 1.48 (95% CI 0.62 to 3.55), false discovery rate q 0.437)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1.48 (95% CI 0.62 to 3.55)</w:t>
            </w:r>
          </w:p>
        </w:tc>
        <w:tc>
          <w:tcPr>
            <w:tcW w:type="dxa" w:w="1234"/>
          </w:tcPr>
          <w:p>
            <w:r>
              <w:t>0.385</w:t>
            </w:r>
          </w:p>
        </w:tc>
        <w:tc>
          <w:tcPr>
            <w:tcW w:type="dxa" w:w="1234"/>
          </w:tcPr>
          <w:p>
            <w:r>
              <w:t>0.437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28.0%</w:t>
            </w:r>
          </w:p>
        </w:tc>
        <w:tc>
          <w:tcPr>
            <w:tcW w:type="dxa" w:w="2160"/>
          </w:tcPr>
          <w:p>
            <w:r>
              <w:t>26.4%</w:t>
            </w:r>
          </w:p>
        </w:tc>
        <w:tc>
          <w:tcPr>
            <w:tcW w:type="dxa" w:w="2160"/>
          </w:tcPr>
          <w:p>
            <w:r>
              <w:t>41.9%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