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Chronic kidney disease (KDIGO: eGFR&lt;60 or ACR&gt;=30) (odds ratio 1.08 (95% CI 0.94 to 1.23), false discovery rate q 0.337) among 20173 adults aged 20 years or older (a weighted Chronic kidney disease (KDIGO: eGFR&lt;60 or ACR&gt;=30) prevalence of 7.7 percent, survey-weighted). Confounders: Age, years, Male sex,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0.94 to 1.23)</w:t>
            </w:r>
          </w:p>
        </w:tc>
        <w:tc>
          <w:tcPr>
            <w:tcW w:type="dxa" w:w="1234"/>
          </w:tcPr>
          <w:p>
            <w:r>
              <w:t>0.290</w:t>
            </w:r>
          </w:p>
        </w:tc>
        <w:tc>
          <w:tcPr>
            <w:tcW w:type="dxa" w:w="1234"/>
          </w:tcPr>
          <w:p>
            <w:r>
              <w:t>0.337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58.8%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  <w:tc>
          <w:tcPr>
            <w:tcW w:type="dxa" w:w="2160"/>
          </w:tcPr>
          <w:p>
            <w:r>
              <w:t>69.1%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