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Platelet count, 10^3/uL was positively associated with Chronic kidney disease (KDIGO: eGFR&lt;60 or ACR&gt;=30) (odds ratio per 1-SD 1.06 (95% CI 0.99 to 1.14), false discovery rate q 0.093)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1.06 (95% CI 0.99 to 1.14)</w:t>
            </w:r>
          </w:p>
        </w:tc>
        <w:tc>
          <w:tcPr>
            <w:tcW w:type="dxa" w:w="1234"/>
          </w:tcPr>
          <w:p>
            <w:r>
              <w:t>0.073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258.0</w:t>
            </w:r>
          </w:p>
        </w:tc>
        <w:tc>
          <w:tcPr>
            <w:tcW w:type="dxa" w:w="2160"/>
          </w:tcPr>
          <w:p>
            <w:r>
              <w:t>258.4</w:t>
            </w:r>
          </w:p>
        </w:tc>
        <w:tc>
          <w:tcPr>
            <w:tcW w:type="dxa" w:w="2160"/>
          </w:tcPr>
          <w:p>
            <w:r>
              <w:t>253.7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