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Chronic kidney disease (KDIGO: eGFR&lt;60 or ACR&gt;=30) (odds ratio per 1-SD 0.86 (95% CI 0.75 to 0.99), false discovery rate q 0.046)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0.86 (95% CI 0.75 to 0.99)</w:t>
            </w:r>
          </w:p>
        </w:tc>
        <w:tc>
          <w:tcPr>
            <w:tcW w:type="dxa" w:w="1234"/>
          </w:tcPr>
          <w:p>
            <w:r>
              <w:t>0.034</w:t>
            </w:r>
          </w:p>
        </w:tc>
        <w:tc>
          <w:tcPr>
            <w:tcW w:type="dxa" w:w="1234"/>
          </w:tcPr>
          <w:p>
            <w:r>
              <w:t>0.046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16.9</w:t>
            </w:r>
          </w:p>
        </w:tc>
        <w:tc>
          <w:tcPr>
            <w:tcW w:type="dxa" w:w="2160"/>
          </w:tcPr>
          <w:p>
            <w:r>
              <w:t>16.8</w:t>
            </w:r>
          </w:p>
        </w:tc>
        <w:tc>
          <w:tcPr>
            <w:tcW w:type="dxa" w:w="2160"/>
          </w:tcPr>
          <w:p>
            <w:r>
              <w:t>17.2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