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Chronic kidney disease (KDIGO: eGFR&lt;60 or ACR&gt;=30) (odds ratio per 1-SD 1.03 (95% CI 0.96 to 1.10), false discovery rate q 0.454)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0.96 to 1.10)</w:t>
            </w:r>
          </w:p>
        </w:tc>
        <w:tc>
          <w:tcPr>
            <w:tcW w:type="dxa" w:w="1234"/>
          </w:tcPr>
          <w:p>
            <w:r>
              <w:t>0.404</w:t>
            </w:r>
          </w:p>
        </w:tc>
        <w:tc>
          <w:tcPr>
            <w:tcW w:type="dxa" w:w="1234"/>
          </w:tcPr>
          <w:p>
            <w:r>
              <w:t>0.454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189.8</w:t>
            </w:r>
          </w:p>
        </w:tc>
        <w:tc>
          <w:tcPr>
            <w:tcW w:type="dxa" w:w="2160"/>
          </w:tcPr>
          <w:p>
            <w:r>
              <w:t>190.2</w:t>
            </w:r>
          </w:p>
        </w:tc>
        <w:tc>
          <w:tcPr>
            <w:tcW w:type="dxa" w:w="2160"/>
          </w:tcPr>
          <w:p>
            <w:r>
              <w:t>185.0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