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Chronic kidney disease (KDIGO: eGFR&lt;60 or ACR&gt;=30) (odds ratio per 1-SD 1.16 (95% CI 0.90 to 1.50), false discovery rate q 0.311)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0.90 to 1.50)</w:t>
            </w:r>
          </w:p>
        </w:tc>
        <w:tc>
          <w:tcPr>
            <w:tcW w:type="dxa" w:w="1234"/>
          </w:tcPr>
          <w:p>
            <w:r>
              <w:t>0.266</w:t>
            </w:r>
          </w:p>
        </w:tc>
        <w:tc>
          <w:tcPr>
            <w:tcW w:type="dxa" w:w="1234"/>
          </w:tcPr>
          <w:p>
            <w:r>
              <w:t>0.311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  <w:tc>
          <w:tcPr>
            <w:tcW w:type="dxa" w:w="2160"/>
          </w:tcPr>
          <w:p>
            <w:r>
              <w:t>17.1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