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Chronic kidney disease (KDIGO: eGFR&lt;60 or ACR&gt;=30) (odds ratio per 1-SD 0.97 (95% CI 0.61 to 1.54), false discovery rate q 0.914)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0.61 to 1.54)</w:t>
            </w:r>
          </w:p>
        </w:tc>
        <w:tc>
          <w:tcPr>
            <w:tcW w:type="dxa" w:w="1234"/>
          </w:tcPr>
          <w:p>
            <w:r>
              <w:t>0.899</w:t>
            </w:r>
          </w:p>
        </w:tc>
        <w:tc>
          <w:tcPr>
            <w:tcW w:type="dxa" w:w="1234"/>
          </w:tcPr>
          <w:p>
            <w:r>
              <w:t>0.914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