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Chronic kidney disease (KDIGO: eGFR&lt;60 or ACR&gt;=30) (odds ratio per 1-SD 1.13 (95% CI 1.07 to 1.19), false discovery rate q &lt;0.001) among 20173 adults aged 20 years or older (a weighted Chronic kidney disease (KDIGO: eGFR&lt;60 or ACR&gt;=30) prevalence of 7.7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1.13 (95% CI 1.07 to 1.19)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134.7</w:t>
            </w:r>
          </w:p>
        </w:tc>
        <w:tc>
          <w:tcPr>
            <w:tcW w:type="dxa" w:w="2160"/>
          </w:tcPr>
          <w:p>
            <w:r>
              <w:t>132.3</w:t>
            </w:r>
          </w:p>
        </w:tc>
        <w:tc>
          <w:tcPr>
            <w:tcW w:type="dxa" w:w="2160"/>
          </w:tcPr>
          <w:p>
            <w:r>
              <w:t>164.4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