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Chronic kidney disease (KDIGO: eGFR&lt;60 or ACR&gt;=30) (odds ratio per 1-SD 1.08 (95% CI 0.99 to 1.18), false discovery rate q 0.084) among 20173 adults aged 20 years or older (a weighted Chronic kidney disease (KDIGO: eGFR&lt;60 or ACR&gt;=30) prevalence of 7.7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0.99 to 1.18)</w:t>
            </w:r>
          </w:p>
        </w:tc>
        <w:tc>
          <w:tcPr>
            <w:tcW w:type="dxa" w:w="1234"/>
          </w:tcPr>
          <w:p>
            <w:r>
              <w:t>0.066</w:t>
            </w:r>
          </w:p>
        </w:tc>
        <w:tc>
          <w:tcPr>
            <w:tcW w:type="dxa" w:w="1234"/>
          </w:tcPr>
          <w:p>
            <w:r>
              <w:t>0.084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65.8</w:t>
            </w:r>
          </w:p>
        </w:tc>
        <w:tc>
          <w:tcPr>
            <w:tcW w:type="dxa" w:w="2160"/>
          </w:tcPr>
          <w:p>
            <w:r>
              <w:t>65.8</w:t>
            </w:r>
          </w:p>
        </w:tc>
        <w:tc>
          <w:tcPr>
            <w:tcW w:type="dxa" w:w="2160"/>
          </w:tcPr>
          <w:p>
            <w:r>
              <w:t>65.7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