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inversely associated with Current smoking (odds ratio 0.92 (95% CI 0.85 to 1.00), false discovery rate q 0.084) among 36605 adults aged 20 years or older (a weighted Current smoking prevalence of 22.2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0.85 to 1.00)</w:t>
            </w:r>
          </w:p>
        </w:tc>
        <w:tc>
          <w:tcPr>
            <w:tcW w:type="dxa" w:w="1234"/>
          </w:tcPr>
          <w:p>
            <w:r>
              <w:t>0.065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29.9%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31.5%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