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Current smoking (odds ratio 0.92 (95% CI 0.74 to 1.14), false discovery rate q 0.504)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0.74 to 1.14)</w:t>
            </w:r>
          </w:p>
        </w:tc>
        <w:tc>
          <w:tcPr>
            <w:tcW w:type="dxa" w:w="1234"/>
          </w:tcPr>
          <w:p>
            <w:r>
              <w:t>0.455</w:t>
            </w:r>
          </w:p>
        </w:tc>
        <w:tc>
          <w:tcPr>
            <w:tcW w:type="dxa" w:w="1234"/>
          </w:tcPr>
          <w:p>
            <w:r>
              <w:t>0.504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