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Anemia (WHO) and Current smoking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Anemia (WHO) was inversely associated with Current smoking (odds ratio 0.63 (95% CI 0.51 to 0.77), false discovery rate q &lt;0.001) among 36605 adults aged 20 years or older (a weighted Current smoking prevalence of 22.2 percent, 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Anemia (WHO)</w:t>
            </w:r>
          </w:p>
        </w:tc>
        <w:tc>
          <w:tcPr>
            <w:tcW w:type="dxa" w:w="1234"/>
          </w:tcPr>
          <w:p>
            <w:r>
              <w:t>Current smoking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0.63 (95% CI 0.51 to 0.77)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36605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Current smoking</w:t>
            </w:r>
          </w:p>
        </w:tc>
        <w:tc>
          <w:tcPr>
            <w:tcW w:type="dxa" w:w="2160"/>
          </w:tcPr>
          <w:p>
            <w:r>
              <w:t>Current smoking</w:t>
            </w:r>
          </w:p>
        </w:tc>
      </w:tr>
      <w:tr>
        <w:tc>
          <w:tcPr>
            <w:tcW w:type="dxa" w:w="2160"/>
          </w:tcPr>
          <w:p>
            <w:r>
              <w:t>Anemia (WHO) (exposure)</w:t>
            </w:r>
          </w:p>
        </w:tc>
        <w:tc>
          <w:tcPr>
            <w:tcW w:type="dxa" w:w="2160"/>
          </w:tcPr>
          <w:p>
            <w:r>
              <w:t>8.4%</w:t>
            </w:r>
          </w:p>
        </w:tc>
        <w:tc>
          <w:tcPr>
            <w:tcW w:type="dxa" w:w="2160"/>
          </w:tcPr>
          <w:p>
            <w:r>
              <w:t>10.0%</w:t>
            </w:r>
          </w:p>
        </w:tc>
        <w:tc>
          <w:tcPr>
            <w:tcW w:type="dxa" w:w="2160"/>
          </w:tcPr>
          <w:p>
            <w:r>
              <w:t>2.8%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47.3</w:t>
            </w:r>
          </w:p>
        </w:tc>
        <w:tc>
          <w:tcPr>
            <w:tcW w:type="dxa" w:w="2160"/>
          </w:tcPr>
          <w:p>
            <w:r>
              <w:t>48.5</w:t>
            </w:r>
          </w:p>
        </w:tc>
        <w:tc>
          <w:tcPr>
            <w:tcW w:type="dxa" w:w="2160"/>
          </w:tcPr>
          <w:p>
            <w:r>
              <w:t>43.3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49.7%</w:t>
            </w:r>
          </w:p>
        </w:tc>
        <w:tc>
          <w:tcPr>
            <w:tcW w:type="dxa" w:w="2160"/>
          </w:tcPr>
          <w:p>
            <w:r>
              <w:t>39.0%</w:t>
            </w:r>
          </w:p>
        </w:tc>
        <w:tc>
          <w:tcPr>
            <w:tcW w:type="dxa" w:w="2160"/>
          </w:tcPr>
          <w:p>
            <w:r>
              <w:t>87.3%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44.7%</w:t>
            </w:r>
          </w:p>
        </w:tc>
        <w:tc>
          <w:tcPr>
            <w:tcW w:type="dxa" w:w="2160"/>
          </w:tcPr>
          <w:p>
            <w:r>
              <w:t>28.9%</w:t>
            </w:r>
          </w:p>
        </w:tc>
        <w:tc>
          <w:tcPr>
            <w:tcW w:type="dxa" w:w="2160"/>
          </w:tcPr>
          <w:p>
            <w:r>
              <w:t>100.0%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90.2%</w:t>
            </w:r>
          </w:p>
        </w:tc>
        <w:tc>
          <w:tcPr>
            <w:tcW w:type="dxa" w:w="2160"/>
          </w:tcPr>
          <w:p>
            <w:r>
              <w:t>88.1%</w:t>
            </w:r>
          </w:p>
        </w:tc>
        <w:tc>
          <w:tcPr>
            <w:tcW w:type="dxa" w:w="2160"/>
          </w:tcPr>
          <w:p>
            <w:r>
              <w:t>97.7%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24.0</w:t>
            </w:r>
          </w:p>
        </w:tc>
        <w:tc>
          <w:tcPr>
            <w:tcW w:type="dxa" w:w="2160"/>
          </w:tcPr>
          <w:p>
            <w:r>
              <w:t>23.9</w:t>
            </w:r>
          </w:p>
        </w:tc>
        <w:tc>
          <w:tcPr>
            <w:tcW w:type="dxa" w:w="2160"/>
          </w:tcPr>
          <w:p>
            <w:r>
              <w:t>24.3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