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Current smoking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inversely associated with Current smoking (odds ratio per 1-SD 0.82 (95% CI 0.70 to 0.96), false discovery rate q 0.021) among 36605 adults aged 20 years or older (a weighted Current smoking prevalence of 22.2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0.82 (95% CI 0.70 to 0.96)</w:t>
            </w:r>
          </w:p>
        </w:tc>
        <w:tc>
          <w:tcPr>
            <w:tcW w:type="dxa" w:w="1234"/>
          </w:tcPr>
          <w:p>
            <w:r>
              <w:t>0.015</w:t>
            </w:r>
          </w:p>
        </w:tc>
        <w:tc>
          <w:tcPr>
            <w:tcW w:type="dxa" w:w="1234"/>
          </w:tcPr>
          <w:p>
            <w:r>
              <w:t>0.021</w:t>
            </w:r>
          </w:p>
        </w:tc>
        <w:tc>
          <w:tcPr>
            <w:tcW w:type="dxa" w:w="1234"/>
          </w:tcPr>
          <w:p>
            <w:r>
              <w:t>36605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18.3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  <w:tc>
          <w:tcPr>
            <w:tcW w:type="dxa" w:w="2160"/>
          </w:tcPr>
          <w:p>
            <w:r>
              <w:t>43.3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  <w:tc>
          <w:tcPr>
            <w:tcW w:type="dxa" w:w="2160"/>
          </w:tcPr>
          <w:p>
            <w:r>
              <w:t>87.3%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28.9%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88.1%</w:t>
            </w:r>
          </w:p>
        </w:tc>
        <w:tc>
          <w:tcPr>
            <w:tcW w:type="dxa" w:w="2160"/>
          </w:tcPr>
          <w:p>
            <w:r>
              <w:t>97.7%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24.3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