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Atherogenic dyslipidemia (high TG + low HDL) and Current smoking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Atherogenic dyslipidemia (high TG + low HDL) was positively associated with Current smoking (odds ratio 1.68 (95% CI 1.50 to 1.89), false discovery rate q &lt;0.001) among 36605 adults aged 20 years or older (a weighted Current smoking prevalence of 22.2 percent, 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Atherogenic dyslipidemia (high TG + low HDL)</w:t>
            </w:r>
          </w:p>
        </w:tc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1.68 (95% CI 1.50 to 1.89)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36605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Current smoking</w:t>
            </w:r>
          </w:p>
        </w:tc>
        <w:tc>
          <w:tcPr>
            <w:tcW w:type="dxa" w:w="2160"/>
          </w:tcPr>
          <w:p>
            <w:r>
              <w:t>Current smoking</w:t>
            </w:r>
          </w:p>
        </w:tc>
      </w:tr>
      <w:tr>
        <w:tc>
          <w:tcPr>
            <w:tcW w:type="dxa" w:w="2160"/>
          </w:tcPr>
          <w:p>
            <w:r>
              <w:t>Atherogenic dyslipidemia (high TG + low HDL) (exposure)</w:t>
            </w:r>
          </w:p>
        </w:tc>
        <w:tc>
          <w:tcPr>
            <w:tcW w:type="dxa" w:w="2160"/>
          </w:tcPr>
          <w:p>
            <w:r>
              <w:t>15.0%</w:t>
            </w:r>
          </w:p>
        </w:tc>
        <w:tc>
          <w:tcPr>
            <w:tcW w:type="dxa" w:w="2160"/>
          </w:tcPr>
          <w:p>
            <w:r>
              <w:t>13.7%</w:t>
            </w:r>
          </w:p>
        </w:tc>
        <w:tc>
          <w:tcPr>
            <w:tcW w:type="dxa" w:w="2160"/>
          </w:tcPr>
          <w:p>
            <w:r>
              <w:t>19.8%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48.5</w:t>
            </w:r>
          </w:p>
        </w:tc>
        <w:tc>
          <w:tcPr>
            <w:tcW w:type="dxa" w:w="2160"/>
          </w:tcPr>
          <w:p>
            <w:r>
              <w:t>43.3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39.0%</w:t>
            </w:r>
          </w:p>
        </w:tc>
        <w:tc>
          <w:tcPr>
            <w:tcW w:type="dxa" w:w="2160"/>
          </w:tcPr>
          <w:p>
            <w:r>
              <w:t>87.3%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28.9%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  <w:tc>
          <w:tcPr>
            <w:tcW w:type="dxa" w:w="2160"/>
          </w:tcPr>
          <w:p>
            <w:r>
              <w:t>88.1%</w:t>
            </w:r>
          </w:p>
        </w:tc>
        <w:tc>
          <w:tcPr>
            <w:tcW w:type="dxa" w:w="2160"/>
          </w:tcPr>
          <w:p>
            <w:r>
              <w:t>97.7%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  <w:tc>
          <w:tcPr>
            <w:tcW w:type="dxa" w:w="2160"/>
          </w:tcPr>
          <w:p>
            <w:r>
              <w:t>24.3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