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mass index, kg/m2 and Current smoking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Body mass index, kg/m2 was inversely associated with Current smoking (odds ratio per 1-SD 0.95 (95% CI 0.91 to 0.99), false discovery rate q 0.012) among 36605 adults aged 20 years or older (a weighted Current smoking prevalence of 22.2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0.95 (95% CI 0.91 to 0.99)</w:t>
            </w:r>
          </w:p>
        </w:tc>
        <w:tc>
          <w:tcPr>
            <w:tcW w:type="dxa" w:w="1234"/>
          </w:tcPr>
          <w:p>
            <w:r>
              <w:t>0.008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Body mass index, kg/m2 (exposure)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24.3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  <w:tc>
          <w:tcPr>
            <w:tcW w:type="dxa" w:w="2160"/>
          </w:tcPr>
          <w:p>
            <w:r>
              <w:t>43.3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  <w:tc>
          <w:tcPr>
            <w:tcW w:type="dxa" w:w="2160"/>
          </w:tcPr>
          <w:p>
            <w:r>
              <w:t>87.3%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28.9%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  <w:tc>
          <w:tcPr>
            <w:tcW w:type="dxa" w:w="2160"/>
          </w:tcPr>
          <w:p>
            <w:r>
              <w:t>97.7%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24.3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