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inversely associated with Current smoking (odds ratio 0.90 (95% CI 0.83 to 0.98), false discovery rate q 0.024) among 36605 adults aged 20 years or older (a weighted Current smoking prevalence of 22.2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0.83 to 0.98)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50.7%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