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Current smoking (odds ratio 1.18 (95% CI 0.97 to 1.42), false discovery rate q 0.121) among 36605 adults aged 20 years or older (a weighted Current smoking prevalence of 22.2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0.97 to 1.42)</w:t>
            </w:r>
          </w:p>
        </w:tc>
        <w:tc>
          <w:tcPr>
            <w:tcW w:type="dxa" w:w="1234"/>
          </w:tcPr>
          <w:p>
            <w:r>
              <w:t>0.097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7.8%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