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Current smoking (odds ratio per 1-SD of log 1.00 (95% CI 0.94 to 1.07), false discovery rate q 0.997)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0.94 to 1.07)</w:t>
            </w:r>
          </w:p>
        </w:tc>
        <w:tc>
          <w:tcPr>
            <w:tcW w:type="dxa" w:w="1234"/>
          </w:tcPr>
          <w:p>
            <w:r>
              <w:t>0.997</w:t>
            </w:r>
          </w:p>
        </w:tc>
        <w:tc>
          <w:tcPr>
            <w:tcW w:type="dxa" w:w="1234"/>
          </w:tcPr>
          <w:p>
            <w:r>
              <w:t>0.997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9.7</w:t>
            </w:r>
          </w:p>
        </w:tc>
        <w:tc>
          <w:tcPr>
            <w:tcW w:type="dxa" w:w="2160"/>
          </w:tcPr>
          <w:p>
            <w:r>
              <w:t>10.1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