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Femoral neck BMD, g/cm2 and Current smoking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Femoral neck BMD, g/cm2 was inversely associated with Current smoking (odds ratio per 1-SD 0.95 (95% CI 0.85 to 1.07), false discovery rate q 0.479) among 36605 adults aged 20 years or older (a weighted Current smoking prevalence of 22.2 percent, 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Femoral neck BMD, g/cm2</w:t>
            </w:r>
          </w:p>
        </w:tc>
        <w:tc>
          <w:tcPr>
            <w:tcW w:type="dxa" w:w="1234"/>
          </w:tcPr>
          <w:p>
            <w:r>
              <w:t>Current smoking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0.95 (95% CI 0.85 to 1.07)</w:t>
            </w:r>
          </w:p>
        </w:tc>
        <w:tc>
          <w:tcPr>
            <w:tcW w:type="dxa" w:w="1234"/>
          </w:tcPr>
          <w:p>
            <w:r>
              <w:t>0.429</w:t>
            </w:r>
          </w:p>
        </w:tc>
        <w:tc>
          <w:tcPr>
            <w:tcW w:type="dxa" w:w="1234"/>
          </w:tcPr>
          <w:p>
            <w:r>
              <w:t>0.479</w:t>
            </w:r>
          </w:p>
        </w:tc>
        <w:tc>
          <w:tcPr>
            <w:tcW w:type="dxa" w:w="1234"/>
          </w:tcPr>
          <w:p>
            <w:r>
              <w:t>36605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Current smoking</w:t>
            </w:r>
          </w:p>
        </w:tc>
        <w:tc>
          <w:tcPr>
            <w:tcW w:type="dxa" w:w="2160"/>
          </w:tcPr>
          <w:p>
            <w:r>
              <w:t>Current smoking</w:t>
            </w:r>
          </w:p>
        </w:tc>
      </w:tr>
      <w:tr>
        <w:tc>
          <w:tcPr>
            <w:tcW w:type="dxa" w:w="2160"/>
          </w:tcPr>
          <w:p>
            <w:r>
              <w:t>Femoral neck BMD, g/cm2 (exposure)</w:t>
            </w:r>
          </w:p>
        </w:tc>
        <w:tc>
          <w:tcPr>
            <w:tcW w:type="dxa" w:w="2160"/>
          </w:tcPr>
          <w:p>
            <w:r>
              <w:t>0.8</w:t>
            </w:r>
          </w:p>
        </w:tc>
        <w:tc>
          <w:tcPr>
            <w:tcW w:type="dxa" w:w="2160"/>
          </w:tcPr>
          <w:p>
            <w:r>
              <w:t>0.7</w:t>
            </w:r>
          </w:p>
        </w:tc>
        <w:tc>
          <w:tcPr>
            <w:tcW w:type="dxa" w:w="2160"/>
          </w:tcPr>
          <w:p>
            <w:r>
              <w:t>0.8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47.3</w:t>
            </w:r>
          </w:p>
        </w:tc>
        <w:tc>
          <w:tcPr>
            <w:tcW w:type="dxa" w:w="2160"/>
          </w:tcPr>
          <w:p>
            <w:r>
              <w:t>48.5</w:t>
            </w:r>
          </w:p>
        </w:tc>
        <w:tc>
          <w:tcPr>
            <w:tcW w:type="dxa" w:w="2160"/>
          </w:tcPr>
          <w:p>
            <w:r>
              <w:t>43.3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49.7%</w:t>
            </w:r>
          </w:p>
        </w:tc>
        <w:tc>
          <w:tcPr>
            <w:tcW w:type="dxa" w:w="2160"/>
          </w:tcPr>
          <w:p>
            <w:r>
              <w:t>39.0%</w:t>
            </w:r>
          </w:p>
        </w:tc>
        <w:tc>
          <w:tcPr>
            <w:tcW w:type="dxa" w:w="2160"/>
          </w:tcPr>
          <w:p>
            <w:r>
              <w:t>87.3%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44.7%</w:t>
            </w:r>
          </w:p>
        </w:tc>
        <w:tc>
          <w:tcPr>
            <w:tcW w:type="dxa" w:w="2160"/>
          </w:tcPr>
          <w:p>
            <w:r>
              <w:t>28.9%</w:t>
            </w:r>
          </w:p>
        </w:tc>
        <w:tc>
          <w:tcPr>
            <w:tcW w:type="dxa" w:w="2160"/>
          </w:tcPr>
          <w:p>
            <w:r>
              <w:t>100.0%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90.2%</w:t>
            </w:r>
          </w:p>
        </w:tc>
        <w:tc>
          <w:tcPr>
            <w:tcW w:type="dxa" w:w="2160"/>
          </w:tcPr>
          <w:p>
            <w:r>
              <w:t>88.1%</w:t>
            </w:r>
          </w:p>
        </w:tc>
        <w:tc>
          <w:tcPr>
            <w:tcW w:type="dxa" w:w="2160"/>
          </w:tcPr>
          <w:p>
            <w:r>
              <w:t>97.7%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23.9</w:t>
            </w:r>
          </w:p>
        </w:tc>
        <w:tc>
          <w:tcPr>
            <w:tcW w:type="dxa" w:w="2160"/>
          </w:tcPr>
          <w:p>
            <w:r>
              <w:t>24.3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