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Current smoking (odds ratio per 1-SD 0.85 (95% CI 0.80 to 0.91), false discovery rate q &lt;0.001)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0.80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164.5</w:t>
            </w:r>
          </w:p>
        </w:tc>
        <w:tc>
          <w:tcPr>
            <w:tcW w:type="dxa" w:w="2160"/>
          </w:tcPr>
          <w:p>
            <w:r>
              <w:t>162.9</w:t>
            </w:r>
          </w:p>
        </w:tc>
        <w:tc>
          <w:tcPr>
            <w:tcW w:type="dxa" w:w="2160"/>
          </w:tcPr>
          <w:p>
            <w:r>
              <w:t>170.1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