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inversely associated with Current smoking (odds ratio 0.93 (95% CI 0.76 to 1.14), false discovery rate q 0.547) among 36605 adults aged 20 years or older (a weighted Current smoking prevalence of 22.2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0.93 (95% CI 0.76 to 1.14)</w:t>
            </w:r>
          </w:p>
        </w:tc>
        <w:tc>
          <w:tcPr>
            <w:tcW w:type="dxa" w:w="1234"/>
          </w:tcPr>
          <w:p>
            <w:r>
              <w:t>0.500</w:t>
            </w:r>
          </w:p>
        </w:tc>
        <w:tc>
          <w:tcPr>
            <w:tcW w:type="dxa" w:w="1234"/>
          </w:tcPr>
          <w:p>
            <w:r>
              <w:t>0.547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33.7%</w:t>
            </w:r>
          </w:p>
        </w:tc>
        <w:tc>
          <w:tcPr>
            <w:tcW w:type="dxa" w:w="2160"/>
          </w:tcPr>
          <w:p>
            <w:r>
              <w:t>35.1%</w:t>
            </w:r>
          </w:p>
        </w:tc>
        <w:tc>
          <w:tcPr>
            <w:tcW w:type="dxa" w:w="2160"/>
          </w:tcPr>
          <w:p>
            <w:r>
              <w:t>29.9%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