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inversely associated with Current smoking (odds ratio 0.88 (95% CI 0.70 to 1.10), false discovery rate q 0.291)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0.88 (95% CI 0.70 to 1.10)</w:t>
            </w:r>
          </w:p>
        </w:tc>
        <w:tc>
          <w:tcPr>
            <w:tcW w:type="dxa" w:w="1234"/>
          </w:tcPr>
          <w:p>
            <w:r>
              <w:t>0.248</w:t>
            </w:r>
          </w:p>
        </w:tc>
        <w:tc>
          <w:tcPr>
            <w:tcW w:type="dxa" w:w="1234"/>
          </w:tcPr>
          <w:p>
            <w:r>
              <w:t>0.291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10.6%</w:t>
            </w:r>
          </w:p>
        </w:tc>
        <w:tc>
          <w:tcPr>
            <w:tcW w:type="dxa" w:w="2160"/>
          </w:tcPr>
          <w:p>
            <w:r>
              <w:t>10.8%</w:t>
            </w:r>
          </w:p>
        </w:tc>
        <w:tc>
          <w:tcPr>
            <w:tcW w:type="dxa" w:w="2160"/>
          </w:tcPr>
          <w:p>
            <w:r>
              <w:t>10.2%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