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positively associated with Current smoking (odds ratio 1.58 (95% CI 1.45 to 1.73), false discovery rate q &lt;0.001) among 36605 adults aged 20 years or older (a weighted Current smoking prevalence of 22.2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1.58 (95% CI 1.45 to 1.73)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25.5%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