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positively associated with Current smoking (odds ratio 1.01 (95% CI 0.87 to 1.16), false discovery rate q 0.929) among 36605 adults aged 20 years or older (a weighted Current smoking prevalence of 22.2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1.01 (95% CI 0.87 to 1.16)</w:t>
            </w:r>
          </w:p>
        </w:tc>
        <w:tc>
          <w:tcPr>
            <w:tcW w:type="dxa" w:w="1234"/>
          </w:tcPr>
          <w:p>
            <w:r>
              <w:t>0.918</w:t>
            </w:r>
          </w:p>
        </w:tc>
        <w:tc>
          <w:tcPr>
            <w:tcW w:type="dxa" w:w="1234"/>
          </w:tcPr>
          <w:p>
            <w:r>
              <w:t>0.929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30.8%</w:t>
            </w:r>
          </w:p>
        </w:tc>
        <w:tc>
          <w:tcPr>
            <w:tcW w:type="dxa" w:w="2160"/>
          </w:tcPr>
          <w:p>
            <w:r>
              <w:t>30.3%</w:t>
            </w:r>
          </w:p>
        </w:tc>
        <w:tc>
          <w:tcPr>
            <w:tcW w:type="dxa" w:w="2160"/>
          </w:tcPr>
          <w:p>
            <w:r>
              <w:t>32.6%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