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Current smoking (odds ratio 4.02 (95% CI 2.99 to 5.39),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4.02 (95% CI 2.99 to 5.39)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  <w:tc>
          <w:tcPr>
            <w:tcW w:type="dxa" w:w="2160"/>
          </w:tcPr>
          <w:p>
            <w:r>
              <w:t>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