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MASLD was positively associated with Current smoking (odds ratio 1.03 (95% CI 0.92 to 1.16), false discovery rate q 0.640)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0.92 to 1.16)</w:t>
            </w:r>
          </w:p>
        </w:tc>
        <w:tc>
          <w:tcPr>
            <w:tcW w:type="dxa" w:w="1234"/>
          </w:tcPr>
          <w:p>
            <w:r>
              <w:t>0.595</w:t>
            </w:r>
          </w:p>
        </w:tc>
        <w:tc>
          <w:tcPr>
            <w:tcW w:type="dxa" w:w="1234"/>
          </w:tcPr>
          <w:p>
            <w:r>
              <w:t>0.640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MASLD (exposure)</w:t>
            </w:r>
          </w:p>
        </w:tc>
        <w:tc>
          <w:tcPr>
            <w:tcW w:type="dxa" w:w="2160"/>
          </w:tcPr>
          <w:p>
            <w:r>
              <w:t>21.5%</w:t>
            </w:r>
          </w:p>
        </w:tc>
        <w:tc>
          <w:tcPr>
            <w:tcW w:type="dxa" w:w="2160"/>
          </w:tcPr>
          <w:p>
            <w:r>
              <w:t>21.4%</w:t>
            </w:r>
          </w:p>
        </w:tc>
        <w:tc>
          <w:tcPr>
            <w:tcW w:type="dxa" w:w="2160"/>
          </w:tcPr>
          <w:p>
            <w:r>
              <w:t>22.2%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