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Current smoking (odds ratio 1.34 (95% CI 1.21 to 1.49),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1.21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  <w:tc>
          <w:tcPr>
            <w:tcW w:type="dxa" w:w="2160"/>
          </w:tcPr>
          <w:p>
            <w:r>
              <w:t>31.2%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