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Current smoking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Osteoporosis (T-score&lt;=-2.5, age&gt;=50) was inversely associated with Current smoking (odds ratio 0.99 (95% CI 0.65 to 1.51), false discovery rate q 0.975) among 36605 adults aged 20 years or older (a weighted Current smoking prevalence of 22.2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0.99 (95% CI 0.65 to 1.51)</w:t>
            </w:r>
          </w:p>
        </w:tc>
        <w:tc>
          <w:tcPr>
            <w:tcW w:type="dxa" w:w="1234"/>
          </w:tcPr>
          <w:p>
            <w:r>
              <w:t>0.971</w:t>
            </w:r>
          </w:p>
        </w:tc>
        <w:tc>
          <w:tcPr>
            <w:tcW w:type="dxa" w:w="1234"/>
          </w:tcPr>
          <w:p>
            <w:r>
              <w:t>0.975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Osteoporosis (T-score&lt;=-2.5, age&gt;=50) (exposure)</w:t>
            </w:r>
          </w:p>
        </w:tc>
        <w:tc>
          <w:tcPr>
            <w:tcW w:type="dxa" w:w="2160"/>
          </w:tcPr>
          <w:p>
            <w:r>
              <w:t>31.6%</w:t>
            </w:r>
          </w:p>
        </w:tc>
        <w:tc>
          <w:tcPr>
            <w:tcW w:type="dxa" w:w="2160"/>
          </w:tcPr>
          <w:p>
            <w:r>
              <w:t>34.6%</w:t>
            </w:r>
          </w:p>
        </w:tc>
        <w:tc>
          <w:tcPr>
            <w:tcW w:type="dxa" w:w="2160"/>
          </w:tcPr>
          <w:p>
            <w:r>
              <w:t>18.1%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  <w:tc>
          <w:tcPr>
            <w:tcW w:type="dxa" w:w="2160"/>
          </w:tcPr>
          <w:p>
            <w:r>
              <w:t>43.3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  <w:tc>
          <w:tcPr>
            <w:tcW w:type="dxa" w:w="2160"/>
          </w:tcPr>
          <w:p>
            <w:r>
              <w:t>87.3%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28.9%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  <w:tc>
          <w:tcPr>
            <w:tcW w:type="dxa" w:w="2160"/>
          </w:tcPr>
          <w:p>
            <w:r>
              <w:t>97.7%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24.3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