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inversely associated with Current smoking (odds ratio per 1-SD 0.87 (95% CI 0.79 to 0.96), false discovery rate q 0.008)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0.79 to 0.96)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17.9</w:t>
            </w:r>
          </w:p>
        </w:tc>
        <w:tc>
          <w:tcPr>
            <w:tcW w:type="dxa" w:w="2160"/>
          </w:tcPr>
          <w:p>
            <w:r>
              <w:t>15.9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