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Current smoking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lean mass, kg was inversely associated with Current smoking (odds ratio per 1-SD 0.87 (95% CI 0.75 to 1.01), false discovery rate q 0.084) among 36605 adults aged 20 years or older (a weighted Current smoking prevalence of 22.2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0.87 (95% CI 0.75 to 1.01)</w:t>
            </w:r>
          </w:p>
        </w:tc>
        <w:tc>
          <w:tcPr>
            <w:tcW w:type="dxa" w:w="1234"/>
          </w:tcPr>
          <w:p>
            <w:r>
              <w:t>0.065</w:t>
            </w:r>
          </w:p>
        </w:tc>
        <w:tc>
          <w:tcPr>
            <w:tcW w:type="dxa" w:w="1234"/>
          </w:tcPr>
          <w:p>
            <w:r>
              <w:t>0.084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Total lean mass, kg (exposure)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43.4</w:t>
            </w:r>
          </w:p>
        </w:tc>
        <w:tc>
          <w:tcPr>
            <w:tcW w:type="dxa" w:w="2160"/>
          </w:tcPr>
          <w:p>
            <w:r>
              <w:t>52.1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43.3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  <w:tc>
          <w:tcPr>
            <w:tcW w:type="dxa" w:w="2160"/>
          </w:tcPr>
          <w:p>
            <w:r>
              <w:t>87.3%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