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Waist circumference, cm was inversely associated with Current smoking (odds ratio per 1-SD 0.92 (95% CI 0.88 to 0.97), false discovery rate q &lt;0.001) among 36605 adults aged 20 years or older (a weighted Current smoking prevalence of 22.2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0.92 (95% CI 0.88 to 0.97)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Waist circumference, cm (exposure)</w:t>
            </w:r>
          </w:p>
        </w:tc>
        <w:tc>
          <w:tcPr>
            <w:tcW w:type="dxa" w:w="2160"/>
          </w:tcPr>
          <w:p>
            <w:r>
              <w:t>82.6</w:t>
            </w:r>
          </w:p>
        </w:tc>
        <w:tc>
          <w:tcPr>
            <w:tcW w:type="dxa" w:w="2160"/>
          </w:tcPr>
          <w:p>
            <w:r>
              <w:t>82.0</w:t>
            </w:r>
          </w:p>
        </w:tc>
        <w:tc>
          <w:tcPr>
            <w:tcW w:type="dxa" w:w="2160"/>
          </w:tcPr>
          <w:p>
            <w:r>
              <w:t>84.9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