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ASM / height^2, kg/m2 and Diabetes mellitus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ASM / height^2, kg/m2 was positively associated with Diabetes mellitus (odds ratio per 1-SD 1.22 (95% CI 1.06 to 1.41), false discovery rate q 0.009) among 35801 adults aged 20 years or older (a weighted Diabetes mellitus prevalence of 11.8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and insulin-resistance measures are excluded as definitional or mediating.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ASM / height^2, kg/m2</w:t>
            </w:r>
          </w:p>
        </w:tc>
        <w:tc>
          <w:tcPr>
            <w:tcW w:type="dxa" w:w="1234"/>
          </w:tcPr>
          <w:p>
            <w:r>
              <w:t>Diabetes mellitus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1.22 (95% CI 1.06 to 1.41)</w:t>
            </w:r>
          </w:p>
        </w:tc>
        <w:tc>
          <w:tcPr>
            <w:tcW w:type="dxa" w:w="1234"/>
          </w:tcPr>
          <w:p>
            <w:r>
              <w:t>0.006</w:t>
            </w:r>
          </w:p>
        </w:tc>
        <w:tc>
          <w:tcPr>
            <w:tcW w:type="dxa" w:w="1234"/>
          </w:tcPr>
          <w:p>
            <w:r>
              <w:t>0.009</w:t>
            </w:r>
          </w:p>
        </w:tc>
        <w:tc>
          <w:tcPr>
            <w:tcW w:type="dxa" w:w="1234"/>
          </w:tcPr>
          <w:p>
            <w:r>
              <w:t>35801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Diabetes mellitus</w:t>
            </w:r>
          </w:p>
        </w:tc>
        <w:tc>
          <w:tcPr>
            <w:tcW w:type="dxa" w:w="2160"/>
          </w:tcPr>
          <w:p>
            <w:r>
              <w:t>Diabetes mellitus</w:t>
            </w:r>
          </w:p>
        </w:tc>
      </w:tr>
      <w:tr>
        <w:tc>
          <w:tcPr>
            <w:tcW w:type="dxa" w:w="2160"/>
          </w:tcPr>
          <w:p>
            <w:r>
              <w:t>ASM / height^2, kg/m2 (exposure)</w:t>
            </w:r>
          </w:p>
        </w:tc>
        <w:tc>
          <w:tcPr>
            <w:tcW w:type="dxa" w:w="2160"/>
          </w:tcPr>
          <w:p>
            <w:r>
              <w:t>7.2</w:t>
            </w:r>
          </w:p>
        </w:tc>
        <w:tc>
          <w:tcPr>
            <w:tcW w:type="dxa" w:w="2160"/>
          </w:tcPr>
          <w:p>
            <w:r>
              <w:t>7.2</w:t>
            </w:r>
          </w:p>
        </w:tc>
        <w:tc>
          <w:tcPr>
            <w:tcW w:type="dxa" w:w="2160"/>
          </w:tcPr>
          <w:p>
            <w:r>
              <w:t>7.3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60.4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  <w:tc>
          <w:tcPr>
            <w:tcW w:type="dxa" w:w="2160"/>
          </w:tcPr>
          <w:p>
            <w:r>
              <w:t>49.3%</w:t>
            </w:r>
          </w:p>
        </w:tc>
        <w:tc>
          <w:tcPr>
            <w:tcW w:type="dxa" w:w="2160"/>
          </w:tcPr>
          <w:p>
            <w:r>
              <w:t>56.0%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23.8</w:t>
            </w:r>
          </w:p>
        </w:tc>
        <w:tc>
          <w:tcPr>
            <w:tcW w:type="dxa" w:w="2160"/>
          </w:tcPr>
          <w:p>
            <w:r>
              <w:t>25.6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44.8%</w:t>
            </w:r>
          </w:p>
        </w:tc>
        <w:tc>
          <w:tcPr>
            <w:tcW w:type="dxa" w:w="2160"/>
          </w:tcPr>
          <w:p>
            <w:r>
              <w:t>43.8%</w:t>
            </w:r>
          </w:p>
        </w:tc>
        <w:tc>
          <w:tcPr>
            <w:tcW w:type="dxa" w:w="2160"/>
          </w:tcPr>
          <w:p>
            <w:r>
              <w:t>52.3%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91.4%</w:t>
            </w:r>
          </w:p>
        </w:tc>
        <w:tc>
          <w:tcPr>
            <w:tcW w:type="dxa" w:w="2160"/>
          </w:tcPr>
          <w:p>
            <w:r>
              <w:t>83.6%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