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Body fat, % and Diabetes mellitus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Body fat, % was positively associated with Diabetes mellitus (odds ratio per 1-SD 1.60 (95% CI 1.36 to 1.88), false discovery rate q &lt;0.001) among 35801 adults aged 20 years or older (a weighted Diabetes mellitus prevalence of 11.8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Glycemic and insulin-resistance measures are excluded as definitional or mediating.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Body fat, %</w:t>
            </w:r>
          </w:p>
        </w:tc>
        <w:tc>
          <w:tcPr>
            <w:tcW w:type="dxa" w:w="1234"/>
          </w:tcPr>
          <w:p>
            <w:r>
              <w:t>Diabetes mellitus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1.60 (95% CI 1.36 to 1.88)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35801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Diabetes mellitus</w:t>
            </w:r>
          </w:p>
        </w:tc>
        <w:tc>
          <w:tcPr>
            <w:tcW w:type="dxa" w:w="2160"/>
          </w:tcPr>
          <w:p>
            <w:r>
              <w:t>Diabetes mellitus</w:t>
            </w:r>
          </w:p>
        </w:tc>
      </w:tr>
      <w:tr>
        <w:tc>
          <w:tcPr>
            <w:tcW w:type="dxa" w:w="2160"/>
          </w:tcPr>
          <w:p>
            <w:r>
              <w:t>Body fat, % (exposure)</w:t>
            </w:r>
          </w:p>
        </w:tc>
        <w:tc>
          <w:tcPr>
            <w:tcW w:type="dxa" w:w="2160"/>
          </w:tcPr>
          <w:p>
            <w:r>
              <w:t>27.7</w:t>
            </w:r>
          </w:p>
        </w:tc>
        <w:tc>
          <w:tcPr>
            <w:tcW w:type="dxa" w:w="2160"/>
          </w:tcPr>
          <w:p>
            <w:r>
              <w:t>27.6</w:t>
            </w:r>
          </w:p>
        </w:tc>
        <w:tc>
          <w:tcPr>
            <w:tcW w:type="dxa" w:w="2160"/>
          </w:tcPr>
          <w:p>
            <w:r>
              <w:t>28.8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47.3</w:t>
            </w:r>
          </w:p>
        </w:tc>
        <w:tc>
          <w:tcPr>
            <w:tcW w:type="dxa" w:w="2160"/>
          </w:tcPr>
          <w:p>
            <w:r>
              <w:t>45.6</w:t>
            </w:r>
          </w:p>
        </w:tc>
        <w:tc>
          <w:tcPr>
            <w:tcW w:type="dxa" w:w="2160"/>
          </w:tcPr>
          <w:p>
            <w:r>
              <w:t>60.4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50.1%</w:t>
            </w:r>
          </w:p>
        </w:tc>
        <w:tc>
          <w:tcPr>
            <w:tcW w:type="dxa" w:w="2160"/>
          </w:tcPr>
          <w:p>
            <w:r>
              <w:t>49.3%</w:t>
            </w:r>
          </w:p>
        </w:tc>
        <w:tc>
          <w:tcPr>
            <w:tcW w:type="dxa" w:w="2160"/>
          </w:tcPr>
          <w:p>
            <w:r>
              <w:t>56.0%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23.8</w:t>
            </w:r>
          </w:p>
        </w:tc>
        <w:tc>
          <w:tcPr>
            <w:tcW w:type="dxa" w:w="2160"/>
          </w:tcPr>
          <w:p>
            <w:r>
              <w:t>25.6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44.8%</w:t>
            </w:r>
          </w:p>
        </w:tc>
        <w:tc>
          <w:tcPr>
            <w:tcW w:type="dxa" w:w="2160"/>
          </w:tcPr>
          <w:p>
            <w:r>
              <w:t>43.8%</w:t>
            </w:r>
          </w:p>
        </w:tc>
        <w:tc>
          <w:tcPr>
            <w:tcW w:type="dxa" w:w="2160"/>
          </w:tcPr>
          <w:p>
            <w:r>
              <w:t>52.3%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90.5%</w:t>
            </w:r>
          </w:p>
        </w:tc>
        <w:tc>
          <w:tcPr>
            <w:tcW w:type="dxa" w:w="2160"/>
          </w:tcPr>
          <w:p>
            <w:r>
              <w:t>91.4%</w:t>
            </w:r>
          </w:p>
        </w:tc>
        <w:tc>
          <w:tcPr>
            <w:tcW w:type="dxa" w:w="2160"/>
          </w:tcPr>
          <w:p>
            <w:r>
              <w:t>83.6%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