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Diabetes mellitus (odds ratio 1.11 (95% CI 0.97 to 1.28), false discovery rate q 0.153)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0.97 to 1.28)</w:t>
            </w:r>
          </w:p>
        </w:tc>
        <w:tc>
          <w:tcPr>
            <w:tcW w:type="dxa" w:w="1234"/>
          </w:tcPr>
          <w:p>
            <w:r>
              <w:t>0.124</w:t>
            </w:r>
          </w:p>
        </w:tc>
        <w:tc>
          <w:tcPr>
            <w:tcW w:type="dxa" w:w="1234"/>
          </w:tcPr>
          <w:p>
            <w:r>
              <w:t>0.153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8.8%</w:t>
            </w:r>
          </w:p>
        </w:tc>
        <w:tc>
          <w:tcPr>
            <w:tcW w:type="dxa" w:w="2160"/>
          </w:tcPr>
          <w:p>
            <w:r>
              <w:t>8.4%</w:t>
            </w:r>
          </w:p>
        </w:tc>
        <w:tc>
          <w:tcPr>
            <w:tcW w:type="dxa" w:w="2160"/>
          </w:tcPr>
          <w:p>
            <w:r>
              <w:t>11.5%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