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muscle mass (low ASMI, AWGS cut) and Diabetes mellitus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Low muscle mass (low ASMI, AWGS cut) was inversely associated with Diabetes mellitus (odds ratio 0.84 (95% CI 0.61 to 1.16), false discovery rate q 0.341) among 35801 adults aged 20 years or older (a weighted Diabetes mellitus prevalence of 11.8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0.84 (95% CI 0.61 to 1.16)</w:t>
            </w:r>
          </w:p>
        </w:tc>
        <w:tc>
          <w:tcPr>
            <w:tcW w:type="dxa" w:w="1234"/>
          </w:tcPr>
          <w:p>
            <w:r>
              <w:t>0.293</w:t>
            </w:r>
          </w:p>
        </w:tc>
        <w:tc>
          <w:tcPr>
            <w:tcW w:type="dxa" w:w="1234"/>
          </w:tcPr>
          <w:p>
            <w:r>
              <w:t>0.341</w:t>
            </w:r>
          </w:p>
        </w:tc>
        <w:tc>
          <w:tcPr>
            <w:tcW w:type="dxa" w:w="1234"/>
          </w:tcPr>
          <w:p>
            <w:r>
              <w:t>35801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Diabetes mellitus</w:t>
            </w:r>
          </w:p>
        </w:tc>
        <w:tc>
          <w:tcPr>
            <w:tcW w:type="dxa" w:w="2160"/>
          </w:tcPr>
          <w:p>
            <w:r>
              <w:t>Diabetes mellitus</w:t>
            </w:r>
          </w:p>
        </w:tc>
      </w:tr>
      <w:tr>
        <w:tc>
          <w:tcPr>
            <w:tcW w:type="dxa" w:w="2160"/>
          </w:tcPr>
          <w:p>
            <w:r>
              <w:t>Low muscle mass (low ASMI, AWGS cut) (exposure)</w:t>
            </w:r>
          </w:p>
        </w:tc>
        <w:tc>
          <w:tcPr>
            <w:tcW w:type="dxa" w:w="2160"/>
          </w:tcPr>
          <w:p>
            <w:r>
              <w:t>12.2%</w:t>
            </w:r>
          </w:p>
        </w:tc>
        <w:tc>
          <w:tcPr>
            <w:tcW w:type="dxa" w:w="2160"/>
          </w:tcPr>
          <w:p>
            <w:r>
              <w:t>12.2%</w:t>
            </w:r>
          </w:p>
        </w:tc>
        <w:tc>
          <w:tcPr>
            <w:tcW w:type="dxa" w:w="2160"/>
          </w:tcPr>
          <w:p>
            <w:r>
              <w:t>12.3%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60.4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  <w:tc>
          <w:tcPr>
            <w:tcW w:type="dxa" w:w="2160"/>
          </w:tcPr>
          <w:p>
            <w:r>
              <w:t>56.0%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23.8</w:t>
            </w:r>
          </w:p>
        </w:tc>
        <w:tc>
          <w:tcPr>
            <w:tcW w:type="dxa" w:w="2160"/>
          </w:tcPr>
          <w:p>
            <w:r>
              <w:t>25.6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  <w:tc>
          <w:tcPr>
            <w:tcW w:type="dxa" w:w="2160"/>
          </w:tcPr>
          <w:p>
            <w:r>
              <w:t>52.3%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91.4%</w:t>
            </w:r>
          </w:p>
        </w:tc>
        <w:tc>
          <w:tcPr>
            <w:tcW w:type="dxa" w:w="2160"/>
          </w:tcPr>
          <w:p>
            <w:r>
              <w:t>83.6%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