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Obesity (KSSO &gt;=25 / WHO &gt;=30, country-specific) and Diabetes mellitus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Obesity (KSSO &gt;=25 / WHO &gt;=30, country-specific) was positively associated with Diabetes mellitus (odds ratio 2.30 (95% CI 2.13 to 2.49), false discovery rate q &lt;0.001) among 35801 adults aged 20 years or older (a weighted Diabetes mellitus prevalence of 11.8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Glycemic and insulin-resistance measures are excluded as definitional or mediating.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Obesity (KSSO &gt;=25 / WHO &gt;=30, country-specific)</w:t>
            </w:r>
          </w:p>
        </w:tc>
        <w:tc>
          <w:tcPr>
            <w:tcW w:type="dxa" w:w="1234"/>
          </w:tcPr>
          <w:p>
            <w:r>
              <w:t>Diabetes mellitus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2.30 (95% CI 2.13 to 2.49)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35801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Diabetes mellitus</w:t>
            </w:r>
          </w:p>
        </w:tc>
        <w:tc>
          <w:tcPr>
            <w:tcW w:type="dxa" w:w="2160"/>
          </w:tcPr>
          <w:p>
            <w:r>
              <w:t>Diabetes mellitus</w:t>
            </w:r>
          </w:p>
        </w:tc>
      </w:tr>
      <w:tr>
        <w:tc>
          <w:tcPr>
            <w:tcW w:type="dxa" w:w="2160"/>
          </w:tcPr>
          <w:p>
            <w:r>
              <w:t>Obesity (KSSO &gt;=25 / WHO &gt;=30, country-specific) (exposure)</w:t>
            </w:r>
          </w:p>
        </w:tc>
        <w:tc>
          <w:tcPr>
            <w:tcW w:type="dxa" w:w="2160"/>
          </w:tcPr>
          <w:p>
            <w:r>
              <w:t>35.2%</w:t>
            </w:r>
          </w:p>
        </w:tc>
        <w:tc>
          <w:tcPr>
            <w:tcW w:type="dxa" w:w="2160"/>
          </w:tcPr>
          <w:p>
            <w:r>
              <w:t>32.8%</w:t>
            </w:r>
          </w:p>
        </w:tc>
        <w:tc>
          <w:tcPr>
            <w:tcW w:type="dxa" w:w="2160"/>
          </w:tcPr>
          <w:p>
            <w:r>
              <w:t>52.7%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47.3</w:t>
            </w:r>
          </w:p>
        </w:tc>
        <w:tc>
          <w:tcPr>
            <w:tcW w:type="dxa" w:w="2160"/>
          </w:tcPr>
          <w:p>
            <w:r>
              <w:t>45.6</w:t>
            </w:r>
          </w:p>
        </w:tc>
        <w:tc>
          <w:tcPr>
            <w:tcW w:type="dxa" w:w="2160"/>
          </w:tcPr>
          <w:p>
            <w:r>
              <w:t>60.4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50.1%</w:t>
            </w:r>
          </w:p>
        </w:tc>
        <w:tc>
          <w:tcPr>
            <w:tcW w:type="dxa" w:w="2160"/>
          </w:tcPr>
          <w:p>
            <w:r>
              <w:t>49.3%</w:t>
            </w:r>
          </w:p>
        </w:tc>
        <w:tc>
          <w:tcPr>
            <w:tcW w:type="dxa" w:w="2160"/>
          </w:tcPr>
          <w:p>
            <w:r>
              <w:t>56.0%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23.8</w:t>
            </w:r>
          </w:p>
        </w:tc>
        <w:tc>
          <w:tcPr>
            <w:tcW w:type="dxa" w:w="2160"/>
          </w:tcPr>
          <w:p>
            <w:r>
              <w:t>25.6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44.8%</w:t>
            </w:r>
          </w:p>
        </w:tc>
        <w:tc>
          <w:tcPr>
            <w:tcW w:type="dxa" w:w="2160"/>
          </w:tcPr>
          <w:p>
            <w:r>
              <w:t>43.8%</w:t>
            </w:r>
          </w:p>
        </w:tc>
        <w:tc>
          <w:tcPr>
            <w:tcW w:type="dxa" w:w="2160"/>
          </w:tcPr>
          <w:p>
            <w:r>
              <w:t>52.3%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90.5%</w:t>
            </w:r>
          </w:p>
        </w:tc>
        <w:tc>
          <w:tcPr>
            <w:tcW w:type="dxa" w:w="2160"/>
          </w:tcPr>
          <w:p>
            <w:r>
              <w:t>91.4%</w:t>
            </w:r>
          </w:p>
        </w:tc>
        <w:tc>
          <w:tcPr>
            <w:tcW w:type="dxa" w:w="2160"/>
          </w:tcPr>
          <w:p>
            <w:r>
              <w:t>83.6%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