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inversely associated with Diabetes mellitus (odds ratio per 1-SD 0.74 (95% CI 0.70 to 0.77), false discovery rate q &lt;0.001)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0.74 (95% CI 0.70 to 0.77)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189.7</w:t>
            </w:r>
          </w:p>
        </w:tc>
        <w:tc>
          <w:tcPr>
            <w:tcW w:type="dxa" w:w="2160"/>
          </w:tcPr>
          <w:p>
            <w:r>
              <w:t>190.9</w:t>
            </w:r>
          </w:p>
        </w:tc>
        <w:tc>
          <w:tcPr>
            <w:tcW w:type="dxa" w:w="2160"/>
          </w:tcPr>
          <w:p>
            <w:r>
              <w:t>180.7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