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Abdominal obesity and Diastolic blood pressure, mmHg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Abdominal obesity was positively associated with Diastolic blood pressure, mmHg (beta coefficient 3.72 (95% CI 3.44 to 3.99), false discovery rate q &lt;0.001) among 37324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Abdominal obesity</w:t>
            </w:r>
          </w:p>
        </w:tc>
        <w:tc>
          <w:tcPr>
            <w:tcW w:type="dxa" w:w="1234"/>
          </w:tcPr>
          <w:p>
            <w:r>
              <w:t>Diastolic blood pressure, mmHg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3.72 (95% CI 3.44 to 3.99)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37324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Abdominal obesity (exposure)</w:t>
            </w:r>
          </w:p>
        </w:tc>
        <w:tc>
          <w:tcPr>
            <w:tcW w:type="dxa" w:w="4320"/>
          </w:tcPr>
          <w:p>
            <w:r>
              <w:t>29.9%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47.5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49.7%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44.6%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90.2%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