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Age, years and Dyslipidemia (KSoLA composite)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Age, years was positively associated with Dyslipidemia (KSoLA composite) (odds ratio per 1-SD 1.69 (95% CI 1.64 to 1.73), false discovery rate q &lt;0.001) among 36016 adults aged 20 years or older (a weighted Dyslipidemia (KSoLA composite) prevalence of 49.6 percent, 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1.64 to 1.73)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36016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Age, years (exposure)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43.4</w:t>
            </w:r>
          </w:p>
        </w:tc>
        <w:tc>
          <w:tcPr>
            <w:tcW w:type="dxa" w:w="2160"/>
          </w:tcPr>
          <w:p>
            <w:r>
              <w:t>51.3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47.3%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23.0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44.8%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93.4%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