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Dyslipidemia (KSoLA composite) (odds ratio 0.95 (95% CI 0.87 to 1.04), false discovery rate q 0.327)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0.87 to 1.04)</w:t>
            </w:r>
          </w:p>
        </w:tc>
        <w:tc>
          <w:tcPr>
            <w:tcW w:type="dxa" w:w="1234"/>
          </w:tcPr>
          <w:p>
            <w:r>
              <w:t>0.281</w:t>
            </w:r>
          </w:p>
        </w:tc>
        <w:tc>
          <w:tcPr>
            <w:tcW w:type="dxa" w:w="1234"/>
          </w:tcPr>
          <w:p>
            <w:r>
              <w:t>0.327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