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positively associated with Dyslipidemia (KSoLA composite) (odds ratio per 1-SD 1.54 (95% CI 1.39 to 1.71), false discovery rate q &lt;0.001) among 36016 adults aged 20 years or older (a weighted Dyslipidemia (KSoLA composite) prevalence of 49.6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1.54 (95% CI 1.39 to 1.71)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19.6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  <w:tc>
          <w:tcPr>
            <w:tcW w:type="dxa" w:w="2160"/>
          </w:tcPr>
          <w:p>
            <w:r>
              <w:t>19.3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