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fat, % and Dyslipidemia (KSoLA composite)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Body fat, % was positively associated with Dyslipidemia (KSoLA composite) (odds ratio per 1-SD 1.85 (95% CI 1.69 to 2.03), false discovery rate q &lt;0.001) among 36016 adults aged 20 years or older (a weighted Dyslipidemia (KSoLA composite) prevalence of 49.6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1.85 (95% CI 1.69 to 2.03)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36016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Dyslipidemia (KSoLA composite)</w:t>
            </w:r>
          </w:p>
        </w:tc>
        <w:tc>
          <w:tcPr>
            <w:tcW w:type="dxa" w:w="2160"/>
          </w:tcPr>
          <w:p>
            <w:r>
              <w:t>Dyslipidemia (KSoLA composite)</w:t>
            </w:r>
          </w:p>
        </w:tc>
      </w:tr>
      <w:tr>
        <w:tc>
          <w:tcPr>
            <w:tcW w:type="dxa" w:w="2160"/>
          </w:tcPr>
          <w:p>
            <w:r>
              <w:t>Body fat, % (exposure)</w:t>
            </w:r>
          </w:p>
        </w:tc>
        <w:tc>
          <w:tcPr>
            <w:tcW w:type="dxa" w:w="2160"/>
          </w:tcPr>
          <w:p>
            <w:r>
              <w:t>27.6</w:t>
            </w:r>
          </w:p>
        </w:tc>
        <w:tc>
          <w:tcPr>
            <w:tcW w:type="dxa" w:w="2160"/>
          </w:tcPr>
          <w:p>
            <w:r>
              <w:t>25.7</w:t>
            </w:r>
          </w:p>
        </w:tc>
        <w:tc>
          <w:tcPr>
            <w:tcW w:type="dxa" w:w="2160"/>
          </w:tcPr>
          <w:p>
            <w:r>
              <w:t>29.3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43.4</w:t>
            </w:r>
          </w:p>
        </w:tc>
        <w:tc>
          <w:tcPr>
            <w:tcW w:type="dxa" w:w="2160"/>
          </w:tcPr>
          <w:p>
            <w:r>
              <w:t>51.3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  <w:tc>
          <w:tcPr>
            <w:tcW w:type="dxa" w:w="2160"/>
          </w:tcPr>
          <w:p>
            <w:r>
              <w:t>47.3%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23.0</w:t>
            </w:r>
          </w:p>
        </w:tc>
        <w:tc>
          <w:tcPr>
            <w:tcW w:type="dxa" w:w="2160"/>
          </w:tcPr>
          <w:p>
            <w:r>
              <w:t>24.9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45.1%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93.4%</w:t>
            </w:r>
          </w:p>
        </w:tc>
        <w:tc>
          <w:tcPr>
            <w:tcW w:type="dxa" w:w="2160"/>
          </w:tcPr>
          <w:p>
            <w:r>
              <w:t>87.5%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