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Dyslipidemia (KSoLA composite) (odds ratio 2.88 (95% CI 2.72 to 3.04), false discovery rate q &lt;0.001) among 36016 adults aged 20 years or older (a weighted Dyslipidemia (KSoLA composite) prevalence of 49.6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2.88 (95% CI 2.72 to 3.04)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35.2%</w:t>
            </w:r>
          </w:p>
        </w:tc>
        <w:tc>
          <w:tcPr>
            <w:tcW w:type="dxa" w:w="2160"/>
          </w:tcPr>
          <w:p>
            <w:r>
              <w:t>65.5%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