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Dyslipidemia (KSoLA composite)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Diabetes mellitus was positively associated with Dyslipidemia (KSoLA composite) (odds ratio 2.19 (95% CI 2.00 to 2.40), false discovery rate q &lt;0.001) among 36016 adults aged 20 years or older (a weighted Dyslipidemia (KSoLA composite) prevalence of 49.6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2.19 (95% CI 2.00 to 2.40)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36016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Dyslipidemia (KSoLA composite)</w:t>
            </w:r>
          </w:p>
        </w:tc>
        <w:tc>
          <w:tcPr>
            <w:tcW w:type="dxa" w:w="2160"/>
          </w:tcPr>
          <w:p>
            <w:r>
              <w:t>Dyslipidemia (KSoLA composite)</w:t>
            </w:r>
          </w:p>
        </w:tc>
      </w:tr>
      <w:tr>
        <w:tc>
          <w:tcPr>
            <w:tcW w:type="dxa" w:w="2160"/>
          </w:tcPr>
          <w:p>
            <w:r>
              <w:t>Diabetes mellitus (exposure)</w:t>
            </w:r>
          </w:p>
        </w:tc>
        <w:tc>
          <w:tcPr>
            <w:tcW w:type="dxa" w:w="2160"/>
          </w:tcPr>
          <w:p>
            <w:r>
              <w:t>11.5%</w:t>
            </w:r>
          </w:p>
        </w:tc>
        <w:tc>
          <w:tcPr>
            <w:tcW w:type="dxa" w:w="2160"/>
          </w:tcPr>
          <w:p>
            <w:r>
              <w:t>5.4%</w:t>
            </w:r>
          </w:p>
        </w:tc>
        <w:tc>
          <w:tcPr>
            <w:tcW w:type="dxa" w:w="2160"/>
          </w:tcPr>
          <w:p>
            <w:r>
              <w:t>17.8%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43.4</w:t>
            </w:r>
          </w:p>
        </w:tc>
        <w:tc>
          <w:tcPr>
            <w:tcW w:type="dxa" w:w="2160"/>
          </w:tcPr>
          <w:p>
            <w:r>
              <w:t>51.3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23.0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93.4%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