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HOMA-IR and Dyslipidemia (KSoLA composite)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HOMA-IR was positively associated with Dyslipidemia (KSoLA composite) (odds ratio per 1-SD of log 1.66 (95% CI 1.57 to 1.75), false discovery rate q &lt;0.001) among 36016 adults aged 20 years or older (a weighted Dyslipidemia (KSoLA composite) prevalence of 49.6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1.66 (95% CI 1.57 to 1.75)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36016</w:t>
            </w:r>
          </w:p>
        </w:tc>
      </w:tr>
    </w:tbl>
    <w:p>
      <w:r>
        <w:rPr>
          <w:i/>
        </w:rPr>
        <w:t>Footnote. HOMA-IR was natural-log transformed before per-1-SD standardization owing to its highly right-skewed distribution; the odds ratio is per 1-SD increase in the natural log of HOMA-IR.</w:t>
      </w:r>
    </w:p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Dyslipidemia (KSoLA composite)</w:t>
            </w:r>
          </w:p>
        </w:tc>
        <w:tc>
          <w:tcPr>
            <w:tcW w:type="dxa" w:w="2160"/>
          </w:tcPr>
          <w:p>
            <w:r>
              <w:t>Dyslipidemia (KSoLA composite)</w:t>
            </w:r>
          </w:p>
        </w:tc>
      </w:tr>
      <w:tr>
        <w:tc>
          <w:tcPr>
            <w:tcW w:type="dxa" w:w="2160"/>
          </w:tcPr>
          <w:p>
            <w:r>
              <w:t>HOMA-IR (exposure)</w:t>
            </w:r>
          </w:p>
        </w:tc>
        <w:tc>
          <w:tcPr>
            <w:tcW w:type="dxa" w:w="2160"/>
          </w:tcPr>
          <w:p>
            <w:r>
              <w:t>2.4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2.8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43.4</w:t>
            </w:r>
          </w:p>
        </w:tc>
        <w:tc>
          <w:tcPr>
            <w:tcW w:type="dxa" w:w="2160"/>
          </w:tcPr>
          <w:p>
            <w:r>
              <w:t>51.3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23.0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93.4%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