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HbA1c, % and Dyslipidemia (KSoLA composite)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HbA1c, % was positively associated with Dyslipidemia (KSoLA composite) (odds ratio per 1-SD 1.46 (95% CI 1.38 to 1.53), false discovery rate q &lt;0.001) among 36016 adults aged 20 years or older (a weighted Dyslipidemia (KSoLA composite) prevalence of 49.6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HbA1c, %</w:t>
            </w:r>
          </w:p>
        </w:tc>
        <w:tc>
          <w:tcPr>
            <w:tcW w:type="dxa" w:w="1234"/>
          </w:tcPr>
          <w:p>
            <w:r>
              <w:t>Dyslipidemia (KSoLA composite)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1.46 (95% CI 1.38 to 1.53)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36016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Dyslipidemia (KSoLA composite)</w:t>
            </w:r>
          </w:p>
        </w:tc>
        <w:tc>
          <w:tcPr>
            <w:tcW w:type="dxa" w:w="2160"/>
          </w:tcPr>
          <w:p>
            <w:r>
              <w:t>Dyslipidemia (KSoLA composite)</w:t>
            </w:r>
          </w:p>
        </w:tc>
      </w:tr>
      <w:tr>
        <w:tc>
          <w:tcPr>
            <w:tcW w:type="dxa" w:w="2160"/>
          </w:tcPr>
          <w:p>
            <w:r>
              <w:t>HbA1c, % (exposure)</w:t>
            </w:r>
          </w:p>
        </w:tc>
        <w:tc>
          <w:tcPr>
            <w:tcW w:type="dxa" w:w="2160"/>
          </w:tcPr>
          <w:p>
            <w:r>
              <w:t>5.7</w:t>
            </w:r>
          </w:p>
        </w:tc>
        <w:tc>
          <w:tcPr>
            <w:tcW w:type="dxa" w:w="2160"/>
          </w:tcPr>
          <w:p>
            <w:r>
              <w:t>5.5</w:t>
            </w:r>
          </w:p>
        </w:tc>
        <w:tc>
          <w:tcPr>
            <w:tcW w:type="dxa" w:w="2160"/>
          </w:tcPr>
          <w:p>
            <w:r>
              <w:t>5.9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47.3</w:t>
            </w:r>
          </w:p>
        </w:tc>
        <w:tc>
          <w:tcPr>
            <w:tcW w:type="dxa" w:w="2160"/>
          </w:tcPr>
          <w:p>
            <w:r>
              <w:t>43.4</w:t>
            </w:r>
          </w:p>
        </w:tc>
        <w:tc>
          <w:tcPr>
            <w:tcW w:type="dxa" w:w="2160"/>
          </w:tcPr>
          <w:p>
            <w:r>
              <w:t>51.3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50.1%</w:t>
            </w:r>
          </w:p>
        </w:tc>
        <w:tc>
          <w:tcPr>
            <w:tcW w:type="dxa" w:w="2160"/>
          </w:tcPr>
          <w:p>
            <w:r>
              <w:t>53.0%</w:t>
            </w:r>
          </w:p>
        </w:tc>
        <w:tc>
          <w:tcPr>
            <w:tcW w:type="dxa" w:w="2160"/>
          </w:tcPr>
          <w:p>
            <w:r>
              <w:t>47.3%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23.0</w:t>
            </w:r>
          </w:p>
        </w:tc>
        <w:tc>
          <w:tcPr>
            <w:tcW w:type="dxa" w:w="2160"/>
          </w:tcPr>
          <w:p>
            <w:r>
              <w:t>24.9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44.8%</w:t>
            </w:r>
          </w:p>
        </w:tc>
        <w:tc>
          <w:tcPr>
            <w:tcW w:type="dxa" w:w="2160"/>
          </w:tcPr>
          <w:p>
            <w:r>
              <w:t>45.1%</w:t>
            </w:r>
          </w:p>
        </w:tc>
        <w:tc>
          <w:tcPr>
            <w:tcW w:type="dxa" w:w="2160"/>
          </w:tcPr>
          <w:p>
            <w:r>
              <w:t>44.5%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90.5%</w:t>
            </w:r>
          </w:p>
        </w:tc>
        <w:tc>
          <w:tcPr>
            <w:tcW w:type="dxa" w:w="2160"/>
          </w:tcPr>
          <w:p>
            <w:r>
              <w:t>93.4%</w:t>
            </w:r>
          </w:p>
        </w:tc>
        <w:tc>
          <w:tcPr>
            <w:tcW w:type="dxa" w:w="2160"/>
          </w:tcPr>
          <w:p>
            <w:r>
              <w:t>87.5%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